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3ABD8">
      <w:pPr>
        <w:spacing w:line="560" w:lineRule="exact"/>
        <w:jc w:val="center"/>
        <w:rPr>
          <w:rFonts w:ascii="仿宋_GB2312" w:hAnsi="方正仿宋_GBK" w:eastAsia="仿宋_GB2312" w:cs="方正仿宋_GBK"/>
          <w:color w:val="auto"/>
          <w:sz w:val="28"/>
          <w:szCs w:val="28"/>
        </w:rPr>
      </w:pPr>
      <w:r>
        <w:rPr>
          <w:rFonts w:hint="eastAsia" w:ascii="方正小标宋简体" w:hAnsi="方正小标宋简体" w:eastAsia="方正小标宋简体" w:cs="方正小标宋简体"/>
          <w:color w:val="auto"/>
          <w:sz w:val="32"/>
          <w:szCs w:val="32"/>
          <w:lang w:val="en-US" w:eastAsia="zh-CN"/>
        </w:rPr>
        <w:t>新乡市今冬明春民用天然气产品质量监督抽查实施细则</w:t>
      </w:r>
    </w:p>
    <w:p w14:paraId="575CA63E">
      <w:pPr>
        <w:adjustRightInd w:val="0"/>
        <w:snapToGrid w:val="0"/>
        <w:spacing w:line="560" w:lineRule="exact"/>
        <w:ind w:firstLine="560" w:firstLineChars="200"/>
        <w:rPr>
          <w:rFonts w:ascii="黑体" w:hAnsi="黑体" w:eastAsia="黑体"/>
          <w:color w:val="auto"/>
          <w:sz w:val="28"/>
          <w:szCs w:val="28"/>
        </w:rPr>
      </w:pPr>
      <w:bookmarkStart w:id="0" w:name="_GoBack"/>
      <w:bookmarkEnd w:id="0"/>
      <w:r>
        <w:rPr>
          <w:rFonts w:ascii="黑体" w:hAnsi="黑体" w:eastAsia="黑体"/>
          <w:color w:val="auto"/>
          <w:sz w:val="28"/>
          <w:szCs w:val="28"/>
        </w:rPr>
        <w:t>1</w:t>
      </w:r>
      <w:r>
        <w:rPr>
          <w:rFonts w:hint="eastAsia" w:ascii="黑体" w:hAnsi="黑体" w:eastAsia="黑体"/>
          <w:color w:val="auto"/>
          <w:sz w:val="28"/>
          <w:szCs w:val="28"/>
        </w:rPr>
        <w:t xml:space="preserve"> 抽样方法</w:t>
      </w:r>
    </w:p>
    <w:p w14:paraId="12932AB9">
      <w:pPr>
        <w:adjustRightInd w:val="0"/>
        <w:snapToGrid w:val="0"/>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lang w:val="en-US" w:eastAsia="zh-CN"/>
        </w:rPr>
        <w:t>民用</w:t>
      </w:r>
      <w:r>
        <w:rPr>
          <w:rFonts w:hint="eastAsia" w:ascii="仿宋_GB2312" w:eastAsia="仿宋_GB2312"/>
          <w:color w:val="auto"/>
          <w:sz w:val="28"/>
          <w:szCs w:val="28"/>
        </w:rPr>
        <w:t>天然气监督抽查的抽样方法、数量应严格执行GB/T 13609</w:t>
      </w:r>
      <w:r>
        <w:rPr>
          <w:rFonts w:hint="eastAsia" w:ascii="仿宋_GB2312" w:eastAsia="仿宋_GB2312"/>
          <w:color w:val="auto"/>
          <w:sz w:val="28"/>
          <w:szCs w:val="28"/>
          <w:lang w:val="en-US" w:eastAsia="zh-CN"/>
        </w:rPr>
        <w:t>-2012</w:t>
      </w:r>
      <w:r>
        <w:rPr>
          <w:rFonts w:hint="eastAsia" w:ascii="仿宋_GB2312" w:eastAsia="仿宋_GB2312"/>
          <w:color w:val="auto"/>
          <w:sz w:val="28"/>
          <w:szCs w:val="28"/>
        </w:rPr>
        <w:t>《天然气取样导则》。</w:t>
      </w:r>
    </w:p>
    <w:p w14:paraId="08955261">
      <w:pPr>
        <w:adjustRightInd w:val="0"/>
        <w:snapToGrid w:val="0"/>
        <w:spacing w:before="50"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负责取样的部门和人员应确知能在有关的安全规定之内完成取样。执行取样和安装取样设备的人员应经过必要的培训，使之能够估计出潜在的危险。以上人员应有权制止不适当的或不安全的取样或取样设备的安装。</w:t>
      </w:r>
    </w:p>
    <w:p w14:paraId="3AAC342C">
      <w:pPr>
        <w:pStyle w:val="28"/>
        <w:widowControl w:val="0"/>
        <w:tabs>
          <w:tab w:val="clear" w:pos="840"/>
        </w:tabs>
        <w:spacing w:beforeLines="50" w:afterLines="50" w:line="560" w:lineRule="exact"/>
        <w:ind w:firstLine="198"/>
        <w:jc w:val="center"/>
        <w:rPr>
          <w:rFonts w:ascii="仿宋_GB2312" w:eastAsia="仿宋_GB2312"/>
          <w:b/>
          <w:bCs/>
          <w:color w:val="auto"/>
          <w:sz w:val="28"/>
          <w:szCs w:val="28"/>
        </w:rPr>
      </w:pPr>
      <w:r>
        <w:rPr>
          <w:rFonts w:hint="eastAsia" w:ascii="仿宋_GB2312" w:eastAsia="仿宋_GB2312"/>
          <w:b/>
          <w:bCs/>
          <w:color w:val="auto"/>
          <w:sz w:val="28"/>
          <w:szCs w:val="28"/>
        </w:rPr>
        <w:t>表1 抽取样品数量</w:t>
      </w:r>
    </w:p>
    <w:tbl>
      <w:tblPr>
        <w:tblStyle w:val="13"/>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980"/>
        <w:gridCol w:w="1755"/>
        <w:gridCol w:w="2055"/>
        <w:gridCol w:w="2042"/>
      </w:tblGrid>
      <w:tr w14:paraId="3BFC7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14:paraId="024742DE">
            <w:pPr>
              <w:spacing w:before="50" w:after="50"/>
              <w:jc w:val="center"/>
              <w:rPr>
                <w:rFonts w:ascii="仿宋_GB2312" w:eastAsia="仿宋_GB2312"/>
                <w:bCs/>
                <w:color w:val="auto"/>
                <w:kern w:val="0"/>
                <w:sz w:val="22"/>
                <w:szCs w:val="28"/>
              </w:rPr>
            </w:pPr>
            <w:r>
              <w:rPr>
                <w:rFonts w:hint="eastAsia" w:ascii="仿宋_GB2312" w:eastAsia="仿宋_GB2312"/>
                <w:bCs/>
                <w:color w:val="auto"/>
                <w:kern w:val="0"/>
                <w:sz w:val="22"/>
                <w:szCs w:val="28"/>
              </w:rPr>
              <w:t>序号</w:t>
            </w:r>
          </w:p>
        </w:tc>
        <w:tc>
          <w:tcPr>
            <w:tcW w:w="1980" w:type="dxa"/>
            <w:vAlign w:val="center"/>
          </w:tcPr>
          <w:p w14:paraId="766A9367">
            <w:pPr>
              <w:spacing w:before="50" w:after="50"/>
              <w:jc w:val="center"/>
              <w:rPr>
                <w:rFonts w:ascii="仿宋_GB2312" w:eastAsia="仿宋_GB2312"/>
                <w:bCs/>
                <w:color w:val="auto"/>
                <w:kern w:val="0"/>
                <w:sz w:val="22"/>
                <w:szCs w:val="28"/>
              </w:rPr>
            </w:pPr>
            <w:r>
              <w:rPr>
                <w:rFonts w:hint="eastAsia" w:ascii="仿宋_GB2312" w:eastAsia="仿宋_GB2312"/>
                <w:bCs/>
                <w:color w:val="auto"/>
                <w:kern w:val="0"/>
                <w:sz w:val="22"/>
                <w:szCs w:val="28"/>
              </w:rPr>
              <w:t>产品种类</w:t>
            </w:r>
          </w:p>
        </w:tc>
        <w:tc>
          <w:tcPr>
            <w:tcW w:w="1755" w:type="dxa"/>
            <w:vAlign w:val="center"/>
          </w:tcPr>
          <w:p w14:paraId="19EB5AE2">
            <w:pPr>
              <w:spacing w:before="50" w:after="50"/>
              <w:jc w:val="center"/>
              <w:rPr>
                <w:rFonts w:ascii="仿宋_GB2312" w:eastAsia="仿宋_GB2312"/>
                <w:bCs/>
                <w:color w:val="auto"/>
                <w:kern w:val="0"/>
                <w:sz w:val="22"/>
                <w:szCs w:val="28"/>
              </w:rPr>
            </w:pPr>
            <w:r>
              <w:rPr>
                <w:rFonts w:hint="eastAsia" w:ascii="仿宋_GB2312" w:eastAsia="仿宋_GB2312"/>
                <w:bCs/>
                <w:color w:val="auto"/>
                <w:kern w:val="0"/>
                <w:sz w:val="22"/>
                <w:szCs w:val="28"/>
              </w:rPr>
              <w:t>抽样数量（L）</w:t>
            </w:r>
          </w:p>
        </w:tc>
        <w:tc>
          <w:tcPr>
            <w:tcW w:w="2055" w:type="dxa"/>
            <w:vAlign w:val="center"/>
          </w:tcPr>
          <w:p w14:paraId="28838147">
            <w:pPr>
              <w:spacing w:before="50" w:after="50"/>
              <w:jc w:val="center"/>
              <w:rPr>
                <w:rFonts w:ascii="仿宋_GB2312" w:eastAsia="仿宋_GB2312"/>
                <w:bCs/>
                <w:color w:val="auto"/>
                <w:kern w:val="0"/>
                <w:sz w:val="22"/>
                <w:szCs w:val="28"/>
              </w:rPr>
            </w:pPr>
            <w:r>
              <w:rPr>
                <w:rFonts w:hint="eastAsia" w:ascii="仿宋_GB2312" w:eastAsia="仿宋_GB2312"/>
                <w:color w:val="auto"/>
                <w:sz w:val="22"/>
                <w:szCs w:val="28"/>
              </w:rPr>
              <w:t>检验样品数量</w:t>
            </w:r>
            <w:r>
              <w:rPr>
                <w:rFonts w:hint="eastAsia" w:ascii="仿宋_GB2312" w:eastAsia="仿宋_GB2312"/>
                <w:bCs/>
                <w:color w:val="auto"/>
                <w:kern w:val="0"/>
                <w:sz w:val="22"/>
                <w:szCs w:val="28"/>
              </w:rPr>
              <w:t>（L）</w:t>
            </w:r>
          </w:p>
        </w:tc>
        <w:tc>
          <w:tcPr>
            <w:tcW w:w="2042" w:type="dxa"/>
            <w:vAlign w:val="center"/>
          </w:tcPr>
          <w:p w14:paraId="73C17953">
            <w:pPr>
              <w:spacing w:before="50" w:after="50"/>
              <w:jc w:val="center"/>
              <w:rPr>
                <w:rFonts w:ascii="仿宋_GB2312" w:eastAsia="仿宋_GB2312"/>
                <w:bCs/>
                <w:color w:val="auto"/>
                <w:kern w:val="0"/>
                <w:sz w:val="22"/>
                <w:szCs w:val="28"/>
              </w:rPr>
            </w:pPr>
            <w:r>
              <w:rPr>
                <w:rFonts w:hint="eastAsia" w:ascii="仿宋_GB2312" w:eastAsia="仿宋_GB2312"/>
                <w:color w:val="auto"/>
                <w:sz w:val="22"/>
                <w:szCs w:val="28"/>
              </w:rPr>
              <w:t>备用样品数量</w:t>
            </w:r>
            <w:r>
              <w:rPr>
                <w:rFonts w:hint="eastAsia" w:ascii="仿宋_GB2312" w:eastAsia="仿宋_GB2312"/>
                <w:bCs/>
                <w:color w:val="auto"/>
                <w:kern w:val="0"/>
                <w:sz w:val="22"/>
                <w:szCs w:val="28"/>
              </w:rPr>
              <w:t>（L）</w:t>
            </w:r>
          </w:p>
        </w:tc>
      </w:tr>
      <w:tr w14:paraId="7E27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14:paraId="03E784C3">
            <w:pPr>
              <w:adjustRightInd w:val="0"/>
              <w:spacing w:before="50" w:after="50"/>
              <w:jc w:val="center"/>
              <w:rPr>
                <w:rFonts w:ascii="仿宋_GB2312" w:eastAsia="仿宋_GB2312"/>
                <w:color w:val="auto"/>
                <w:sz w:val="22"/>
                <w:szCs w:val="28"/>
              </w:rPr>
            </w:pPr>
            <w:r>
              <w:rPr>
                <w:rFonts w:hint="eastAsia" w:ascii="仿宋_GB2312" w:eastAsia="仿宋_GB2312"/>
                <w:color w:val="auto"/>
                <w:sz w:val="22"/>
                <w:szCs w:val="28"/>
              </w:rPr>
              <w:t>1</w:t>
            </w:r>
          </w:p>
        </w:tc>
        <w:tc>
          <w:tcPr>
            <w:tcW w:w="1980" w:type="dxa"/>
            <w:vAlign w:val="center"/>
          </w:tcPr>
          <w:p w14:paraId="6E90C2DD">
            <w:pPr>
              <w:adjustRightInd w:val="0"/>
              <w:spacing w:before="50" w:after="50"/>
              <w:jc w:val="center"/>
              <w:rPr>
                <w:rFonts w:ascii="仿宋_GB2312" w:eastAsia="仿宋_GB2312"/>
                <w:color w:val="auto"/>
                <w:kern w:val="0"/>
                <w:sz w:val="22"/>
                <w:szCs w:val="28"/>
              </w:rPr>
            </w:pPr>
            <w:r>
              <w:rPr>
                <w:rFonts w:hint="eastAsia" w:ascii="仿宋_GB2312" w:eastAsia="仿宋_GB2312"/>
                <w:bCs/>
                <w:color w:val="auto"/>
                <w:kern w:val="0"/>
                <w:sz w:val="22"/>
                <w:szCs w:val="28"/>
                <w:lang w:val="en-US" w:eastAsia="zh-CN"/>
              </w:rPr>
              <w:t>民用</w:t>
            </w:r>
            <w:r>
              <w:rPr>
                <w:rFonts w:hint="eastAsia" w:ascii="仿宋_GB2312" w:eastAsia="仿宋_GB2312"/>
                <w:bCs/>
                <w:color w:val="auto"/>
                <w:kern w:val="0"/>
                <w:sz w:val="22"/>
                <w:szCs w:val="28"/>
              </w:rPr>
              <w:t>天然气</w:t>
            </w:r>
          </w:p>
        </w:tc>
        <w:tc>
          <w:tcPr>
            <w:tcW w:w="1755" w:type="dxa"/>
            <w:vAlign w:val="center"/>
          </w:tcPr>
          <w:p w14:paraId="15987EF2">
            <w:pPr>
              <w:spacing w:before="50" w:after="50"/>
              <w:jc w:val="center"/>
              <w:rPr>
                <w:rFonts w:ascii="仿宋_GB2312" w:eastAsia="仿宋_GB2312"/>
                <w:color w:val="auto"/>
                <w:kern w:val="0"/>
                <w:sz w:val="22"/>
                <w:szCs w:val="28"/>
              </w:rPr>
            </w:pPr>
            <w:r>
              <w:rPr>
                <w:rFonts w:hint="eastAsia" w:ascii="仿宋_GB2312" w:eastAsia="仿宋_GB2312"/>
                <w:color w:val="auto"/>
                <w:kern w:val="0"/>
                <w:sz w:val="22"/>
                <w:szCs w:val="28"/>
              </w:rPr>
              <w:t>2</w:t>
            </w:r>
          </w:p>
        </w:tc>
        <w:tc>
          <w:tcPr>
            <w:tcW w:w="2055" w:type="dxa"/>
            <w:vAlign w:val="center"/>
          </w:tcPr>
          <w:p w14:paraId="27CF0940">
            <w:pPr>
              <w:spacing w:before="50" w:after="50"/>
              <w:jc w:val="center"/>
              <w:rPr>
                <w:rFonts w:ascii="仿宋_GB2312" w:eastAsia="仿宋_GB2312"/>
                <w:color w:val="auto"/>
                <w:kern w:val="0"/>
                <w:sz w:val="22"/>
                <w:szCs w:val="28"/>
              </w:rPr>
            </w:pPr>
            <w:r>
              <w:rPr>
                <w:rFonts w:hint="eastAsia" w:ascii="仿宋_GB2312" w:eastAsia="仿宋_GB2312"/>
                <w:color w:val="auto"/>
                <w:kern w:val="0"/>
                <w:sz w:val="22"/>
                <w:szCs w:val="28"/>
              </w:rPr>
              <w:t>1</w:t>
            </w:r>
          </w:p>
        </w:tc>
        <w:tc>
          <w:tcPr>
            <w:tcW w:w="2042" w:type="dxa"/>
            <w:vAlign w:val="center"/>
          </w:tcPr>
          <w:p w14:paraId="37A62DF7">
            <w:pPr>
              <w:spacing w:before="50" w:after="50"/>
              <w:jc w:val="center"/>
              <w:rPr>
                <w:rFonts w:ascii="仿宋_GB2312" w:eastAsia="仿宋_GB2312"/>
                <w:color w:val="auto"/>
                <w:kern w:val="0"/>
                <w:sz w:val="22"/>
                <w:szCs w:val="28"/>
              </w:rPr>
            </w:pPr>
            <w:r>
              <w:rPr>
                <w:rFonts w:hint="eastAsia" w:ascii="仿宋_GB2312" w:eastAsia="仿宋_GB2312"/>
                <w:color w:val="auto"/>
                <w:kern w:val="0"/>
                <w:sz w:val="22"/>
                <w:szCs w:val="28"/>
              </w:rPr>
              <w:t>1</w:t>
            </w:r>
          </w:p>
        </w:tc>
      </w:tr>
    </w:tbl>
    <w:p w14:paraId="084ACA0B">
      <w:pPr>
        <w:adjustRightInd w:val="0"/>
        <w:snapToGrid w:val="0"/>
        <w:spacing w:beforeLines="50" w:line="560" w:lineRule="exact"/>
        <w:ind w:firstLine="560" w:firstLineChars="200"/>
        <w:rPr>
          <w:rFonts w:ascii="黑体" w:hAnsi="黑体" w:eastAsia="黑体"/>
          <w:color w:val="auto"/>
          <w:sz w:val="28"/>
          <w:szCs w:val="28"/>
        </w:rPr>
      </w:pPr>
      <w:r>
        <w:rPr>
          <w:rFonts w:ascii="黑体" w:hAnsi="黑体" w:eastAsia="黑体"/>
          <w:color w:val="auto"/>
          <w:sz w:val="28"/>
          <w:szCs w:val="28"/>
        </w:rPr>
        <w:t>2</w:t>
      </w:r>
      <w:r>
        <w:rPr>
          <w:rFonts w:hint="eastAsia" w:ascii="黑体" w:hAnsi="黑体" w:eastAsia="黑体"/>
          <w:color w:val="auto"/>
          <w:sz w:val="28"/>
          <w:szCs w:val="28"/>
        </w:rPr>
        <w:t xml:space="preserve"> 检验依据</w:t>
      </w:r>
    </w:p>
    <w:p w14:paraId="7058B8AD">
      <w:pPr>
        <w:pStyle w:val="11"/>
        <w:widowControl w:val="0"/>
        <w:adjustRightInd w:val="0"/>
        <w:snapToGrid w:val="0"/>
        <w:spacing w:beforeLines="50" w:beforeAutospacing="0" w:afterLines="50" w:afterAutospacing="0" w:line="560" w:lineRule="exact"/>
        <w:ind w:firstLine="198"/>
        <w:contextualSpacing/>
        <w:jc w:val="center"/>
        <w:rPr>
          <w:rFonts w:ascii="仿宋_GB2312" w:hAnsi="Times New Roman" w:eastAsia="仿宋_GB2312" w:cs="黑体"/>
          <w:b/>
          <w:color w:val="auto"/>
          <w:kern w:val="2"/>
          <w:sz w:val="28"/>
          <w:szCs w:val="28"/>
        </w:rPr>
      </w:pPr>
      <w:r>
        <w:rPr>
          <w:rFonts w:hint="eastAsia" w:ascii="仿宋_GB2312" w:hAnsi="Times New Roman" w:eastAsia="仿宋_GB2312" w:cs="黑体"/>
          <w:b/>
          <w:color w:val="auto"/>
          <w:kern w:val="2"/>
          <w:sz w:val="28"/>
          <w:szCs w:val="28"/>
        </w:rPr>
        <w:t xml:space="preserve">表2 </w:t>
      </w:r>
      <w:r>
        <w:rPr>
          <w:rFonts w:hint="eastAsia" w:ascii="仿宋_GB2312" w:hAnsi="Times New Roman" w:eastAsia="仿宋_GB2312" w:cs="黑体"/>
          <w:b/>
          <w:color w:val="auto"/>
          <w:kern w:val="2"/>
          <w:sz w:val="28"/>
          <w:szCs w:val="28"/>
          <w:lang w:val="en-US" w:eastAsia="zh-CN"/>
        </w:rPr>
        <w:t>民用</w:t>
      </w:r>
      <w:r>
        <w:rPr>
          <w:rFonts w:hint="eastAsia" w:ascii="仿宋_GB2312" w:hAnsi="Times New Roman" w:eastAsia="仿宋_GB2312" w:cs="黑体"/>
          <w:b/>
          <w:color w:val="auto"/>
          <w:kern w:val="2"/>
          <w:sz w:val="28"/>
          <w:szCs w:val="28"/>
        </w:rPr>
        <w:t>天然气</w:t>
      </w:r>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7"/>
        <w:gridCol w:w="4306"/>
        <w:gridCol w:w="3928"/>
      </w:tblGrid>
      <w:tr w14:paraId="2AD8C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14:paraId="01237DC4">
            <w:pPr>
              <w:pStyle w:val="5"/>
              <w:adjustRightInd w:val="0"/>
              <w:snapToGrid w:val="0"/>
              <w:spacing w:before="50" w:after="50"/>
              <w:jc w:val="center"/>
              <w:rPr>
                <w:rFonts w:ascii="仿宋_GB2312" w:hAnsi="Times New Roman" w:eastAsia="仿宋_GB2312" w:cs="仿宋_GB2312"/>
                <w:color w:val="auto"/>
                <w:kern w:val="2"/>
                <w:sz w:val="22"/>
                <w:szCs w:val="22"/>
              </w:rPr>
            </w:pPr>
            <w:r>
              <w:rPr>
                <w:rFonts w:hint="eastAsia" w:ascii="仿宋_GB2312" w:hAnsi="Times New Roman" w:eastAsia="仿宋_GB2312" w:cs="仿宋_GB2312"/>
                <w:color w:val="auto"/>
                <w:kern w:val="2"/>
                <w:sz w:val="22"/>
                <w:szCs w:val="22"/>
              </w:rPr>
              <w:t>序号</w:t>
            </w:r>
          </w:p>
        </w:tc>
        <w:tc>
          <w:tcPr>
            <w:tcW w:w="2360" w:type="pct"/>
            <w:vAlign w:val="center"/>
          </w:tcPr>
          <w:p w14:paraId="52F67FA5">
            <w:pPr>
              <w:pStyle w:val="5"/>
              <w:adjustRightInd w:val="0"/>
              <w:snapToGrid w:val="0"/>
              <w:spacing w:before="50" w:after="50"/>
              <w:jc w:val="center"/>
              <w:rPr>
                <w:rFonts w:ascii="仿宋_GB2312" w:hAnsi="Times New Roman" w:eastAsia="仿宋_GB2312" w:cs="仿宋_GB2312"/>
                <w:color w:val="auto"/>
                <w:kern w:val="2"/>
                <w:sz w:val="22"/>
                <w:szCs w:val="22"/>
              </w:rPr>
            </w:pPr>
            <w:r>
              <w:rPr>
                <w:rFonts w:hint="eastAsia" w:ascii="仿宋_GB2312" w:hAnsi="Times New Roman" w:eastAsia="仿宋_GB2312" w:cs="仿宋_GB2312"/>
                <w:color w:val="auto"/>
                <w:kern w:val="2"/>
                <w:sz w:val="22"/>
                <w:szCs w:val="22"/>
              </w:rPr>
              <w:t>检验项目</w:t>
            </w:r>
          </w:p>
        </w:tc>
        <w:tc>
          <w:tcPr>
            <w:tcW w:w="2153" w:type="pct"/>
            <w:vAlign w:val="center"/>
          </w:tcPr>
          <w:p w14:paraId="6DA9F2DF">
            <w:pPr>
              <w:adjustRightInd w:val="0"/>
              <w:snapToGrid w:val="0"/>
              <w:spacing w:before="50" w:after="50"/>
              <w:jc w:val="center"/>
              <w:rPr>
                <w:rFonts w:ascii="仿宋_GB2312" w:eastAsia="仿宋_GB2312"/>
                <w:color w:val="auto"/>
                <w:sz w:val="22"/>
                <w:szCs w:val="22"/>
              </w:rPr>
            </w:pPr>
            <w:r>
              <w:rPr>
                <w:rFonts w:hint="eastAsia" w:ascii="仿宋_GB2312" w:eastAsia="仿宋_GB2312"/>
                <w:color w:val="auto"/>
                <w:sz w:val="22"/>
                <w:szCs w:val="22"/>
              </w:rPr>
              <w:t>检验方法</w:t>
            </w:r>
          </w:p>
        </w:tc>
      </w:tr>
      <w:tr w14:paraId="43DA3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14:paraId="581201A7">
            <w:pPr>
              <w:pStyle w:val="31"/>
              <w:adjustRightInd w:val="0"/>
              <w:snapToGrid w:val="0"/>
              <w:spacing w:before="50" w:after="50"/>
              <w:jc w:val="center"/>
              <w:rPr>
                <w:rFonts w:ascii="仿宋_GB2312" w:eastAsia="仿宋_GB2312" w:cs="仿宋_GB2312"/>
                <w:color w:val="auto"/>
                <w:sz w:val="22"/>
                <w:szCs w:val="22"/>
              </w:rPr>
            </w:pPr>
            <w:r>
              <w:rPr>
                <w:rFonts w:hint="eastAsia" w:ascii="仿宋_GB2312" w:eastAsia="仿宋_GB2312" w:cs="仿宋_GB2312"/>
                <w:color w:val="auto"/>
                <w:sz w:val="22"/>
                <w:szCs w:val="22"/>
              </w:rPr>
              <w:t>1</w:t>
            </w:r>
          </w:p>
        </w:tc>
        <w:tc>
          <w:tcPr>
            <w:tcW w:w="2360" w:type="pct"/>
            <w:vAlign w:val="center"/>
          </w:tcPr>
          <w:p w14:paraId="252DB8FE">
            <w:pPr>
              <w:adjustRightInd w:val="0"/>
              <w:snapToGrid w:val="0"/>
              <w:spacing w:before="50" w:after="50"/>
              <w:jc w:val="center"/>
              <w:rPr>
                <w:rFonts w:ascii="仿宋_GB2312" w:eastAsia="仿宋_GB2312" w:cs="仿宋_GB2312"/>
                <w:color w:val="auto"/>
                <w:sz w:val="22"/>
                <w:szCs w:val="22"/>
              </w:rPr>
            </w:pPr>
            <w:r>
              <w:rPr>
                <w:rFonts w:hint="eastAsia" w:ascii="仿宋_GB2312" w:eastAsia="仿宋_GB2312" w:cs="仿宋_GB2312"/>
                <w:color w:val="auto"/>
                <w:sz w:val="22"/>
                <w:szCs w:val="22"/>
              </w:rPr>
              <w:t>高位发热量</w:t>
            </w:r>
          </w:p>
        </w:tc>
        <w:tc>
          <w:tcPr>
            <w:tcW w:w="2153" w:type="pct"/>
          </w:tcPr>
          <w:p w14:paraId="25317A04">
            <w:pPr>
              <w:pStyle w:val="5"/>
              <w:adjustRightInd w:val="0"/>
              <w:snapToGrid w:val="0"/>
              <w:spacing w:before="50" w:after="50"/>
              <w:jc w:val="center"/>
              <w:rPr>
                <w:rFonts w:ascii="仿宋_GB2312" w:hAnsi="Times New Roman" w:eastAsia="仿宋_GB2312" w:cs="仿宋_GB2312"/>
                <w:color w:val="auto"/>
                <w:kern w:val="2"/>
                <w:sz w:val="22"/>
                <w:szCs w:val="22"/>
              </w:rPr>
            </w:pPr>
            <w:r>
              <w:rPr>
                <w:rFonts w:ascii="仿宋_GB2312" w:hAnsi="Times New Roman" w:eastAsia="仿宋_GB2312" w:cs="仿宋_GB2312"/>
                <w:color w:val="auto"/>
                <w:kern w:val="2"/>
                <w:sz w:val="22"/>
                <w:szCs w:val="22"/>
              </w:rPr>
              <w:t>GB/T11062</w:t>
            </w:r>
            <w:r>
              <w:rPr>
                <w:rFonts w:hint="eastAsia" w:ascii="仿宋_GB2312" w:hAnsi="Times New Roman" w:eastAsia="仿宋_GB2312" w:cs="仿宋_GB2312"/>
                <w:color w:val="auto"/>
                <w:kern w:val="2"/>
                <w:sz w:val="22"/>
                <w:szCs w:val="22"/>
              </w:rPr>
              <w:t>-2020</w:t>
            </w:r>
          </w:p>
          <w:p w14:paraId="48A311DB">
            <w:pPr>
              <w:pStyle w:val="5"/>
              <w:adjustRightInd w:val="0"/>
              <w:snapToGrid w:val="0"/>
              <w:spacing w:before="50" w:after="50"/>
              <w:jc w:val="center"/>
              <w:rPr>
                <w:rFonts w:ascii="仿宋_GB2312" w:hAnsi="Times New Roman" w:eastAsia="仿宋_GB2312" w:cs="仿宋_GB2312"/>
                <w:color w:val="auto"/>
                <w:kern w:val="2"/>
                <w:sz w:val="22"/>
                <w:szCs w:val="22"/>
              </w:rPr>
            </w:pPr>
            <w:r>
              <w:rPr>
                <w:rFonts w:hint="eastAsia" w:ascii="仿宋_GB2312" w:hAnsi="Times New Roman" w:eastAsia="仿宋_GB2312" w:cs="仿宋_GB2312"/>
                <w:color w:val="auto"/>
                <w:kern w:val="2"/>
                <w:sz w:val="22"/>
                <w:szCs w:val="22"/>
              </w:rPr>
              <w:t>GB/T13610-2020</w:t>
            </w:r>
          </w:p>
        </w:tc>
      </w:tr>
      <w:tr w14:paraId="48EC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14:paraId="2EFD4655">
            <w:pPr>
              <w:adjustRightInd w:val="0"/>
              <w:snapToGrid w:val="0"/>
              <w:spacing w:before="50" w:after="50"/>
              <w:jc w:val="center"/>
              <w:rPr>
                <w:rFonts w:ascii="仿宋_GB2312" w:eastAsia="仿宋_GB2312" w:cs="仿宋_GB2312"/>
                <w:color w:val="auto"/>
                <w:sz w:val="22"/>
                <w:szCs w:val="22"/>
              </w:rPr>
            </w:pPr>
            <w:r>
              <w:rPr>
                <w:rFonts w:hint="eastAsia" w:ascii="仿宋_GB2312" w:eastAsia="仿宋_GB2312" w:cs="仿宋_GB2312"/>
                <w:color w:val="auto"/>
                <w:sz w:val="22"/>
                <w:szCs w:val="22"/>
              </w:rPr>
              <w:t>2</w:t>
            </w:r>
          </w:p>
        </w:tc>
        <w:tc>
          <w:tcPr>
            <w:tcW w:w="2360" w:type="pct"/>
            <w:vAlign w:val="center"/>
          </w:tcPr>
          <w:p w14:paraId="6CFC008D">
            <w:pPr>
              <w:adjustRightInd w:val="0"/>
              <w:snapToGrid w:val="0"/>
              <w:spacing w:before="50" w:after="50"/>
              <w:jc w:val="center"/>
              <w:rPr>
                <w:rFonts w:hint="eastAsia" w:ascii="仿宋_GB2312" w:eastAsia="仿宋_GB2312" w:cs="仿宋_GB2312"/>
                <w:color w:val="auto"/>
                <w:sz w:val="22"/>
                <w:szCs w:val="22"/>
                <w:lang w:val="en-US" w:eastAsia="zh-CN"/>
              </w:rPr>
            </w:pPr>
            <w:r>
              <w:rPr>
                <w:rFonts w:hint="eastAsia" w:ascii="仿宋_GB2312" w:eastAsia="仿宋_GB2312" w:cs="仿宋_GB2312"/>
                <w:color w:val="auto"/>
                <w:sz w:val="22"/>
                <w:szCs w:val="22"/>
              </w:rPr>
              <w:t>二氧化碳</w:t>
            </w:r>
            <w:r>
              <w:rPr>
                <w:rFonts w:hint="eastAsia" w:ascii="仿宋_GB2312" w:eastAsia="仿宋_GB2312" w:cs="仿宋_GB2312"/>
                <w:color w:val="auto"/>
                <w:sz w:val="22"/>
                <w:szCs w:val="22"/>
                <w:lang w:val="en-US" w:eastAsia="zh-CN"/>
              </w:rPr>
              <w:t>摩尔分数</w:t>
            </w:r>
          </w:p>
        </w:tc>
        <w:tc>
          <w:tcPr>
            <w:tcW w:w="2153" w:type="pct"/>
          </w:tcPr>
          <w:p w14:paraId="7B2D6A9C">
            <w:pPr>
              <w:pStyle w:val="5"/>
              <w:adjustRightInd w:val="0"/>
              <w:snapToGrid w:val="0"/>
              <w:spacing w:before="50" w:after="50"/>
              <w:jc w:val="center"/>
              <w:rPr>
                <w:rFonts w:ascii="仿宋_GB2312" w:hAnsi="Times New Roman" w:eastAsia="仿宋_GB2312" w:cs="仿宋_GB2312"/>
                <w:color w:val="auto"/>
                <w:kern w:val="2"/>
                <w:sz w:val="22"/>
                <w:szCs w:val="22"/>
              </w:rPr>
            </w:pPr>
            <w:r>
              <w:rPr>
                <w:rFonts w:hint="eastAsia" w:ascii="仿宋_GB2312" w:hAnsi="Times New Roman" w:eastAsia="仿宋_GB2312" w:cs="仿宋_GB2312"/>
                <w:color w:val="auto"/>
                <w:kern w:val="2"/>
                <w:sz w:val="22"/>
                <w:szCs w:val="22"/>
              </w:rPr>
              <w:t>GB/T13610-2020</w:t>
            </w:r>
          </w:p>
        </w:tc>
      </w:tr>
    </w:tbl>
    <w:p w14:paraId="4028B55A">
      <w:pPr>
        <w:adjustRightInd w:val="0"/>
        <w:snapToGrid w:val="0"/>
        <w:spacing w:before="50" w:after="50" w:line="5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执行企业标准、团体标准、地方标准的产品，检验项目参照上述内容执行。</w:t>
      </w:r>
    </w:p>
    <w:p w14:paraId="2E263560">
      <w:pPr>
        <w:adjustRightInd w:val="0"/>
        <w:snapToGrid w:val="0"/>
        <w:spacing w:line="5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凡是注日期的文件，其随后所有的修改单（不包括勘误的内容）或修订版不适用于本细则。凡是不注日期的文件，其最新版本适用于本细则。</w:t>
      </w:r>
    </w:p>
    <w:p w14:paraId="1E62AB82">
      <w:pPr>
        <w:adjustRightInd w:val="0"/>
        <w:snapToGrid w:val="0"/>
        <w:spacing w:line="520" w:lineRule="exact"/>
        <w:ind w:firstLine="560" w:firstLineChars="200"/>
        <w:rPr>
          <w:rFonts w:ascii="黑体" w:hAnsi="黑体" w:eastAsia="黑体"/>
          <w:color w:val="auto"/>
          <w:sz w:val="28"/>
          <w:szCs w:val="28"/>
        </w:rPr>
      </w:pPr>
      <w:r>
        <w:rPr>
          <w:rFonts w:ascii="黑体" w:hAnsi="黑体" w:eastAsia="黑体"/>
          <w:color w:val="auto"/>
          <w:sz w:val="28"/>
          <w:szCs w:val="28"/>
        </w:rPr>
        <w:t>3</w:t>
      </w:r>
      <w:r>
        <w:rPr>
          <w:rFonts w:hint="eastAsia" w:ascii="黑体" w:hAnsi="黑体" w:eastAsia="黑体"/>
          <w:color w:val="auto"/>
          <w:sz w:val="28"/>
          <w:szCs w:val="28"/>
        </w:rPr>
        <w:t xml:space="preserve"> 判定规则</w:t>
      </w:r>
    </w:p>
    <w:p w14:paraId="323908B7">
      <w:pPr>
        <w:adjustRightInd w:val="0"/>
        <w:snapToGrid w:val="0"/>
        <w:spacing w:line="520" w:lineRule="exact"/>
        <w:ind w:firstLine="562" w:firstLineChars="200"/>
        <w:rPr>
          <w:rFonts w:ascii="楷体_GB2312" w:hAnsi="楷体_GB2312" w:eastAsia="楷体_GB2312" w:cs="楷体_GB2312"/>
          <w:b/>
          <w:color w:val="auto"/>
          <w:sz w:val="28"/>
          <w:szCs w:val="28"/>
        </w:rPr>
      </w:pPr>
      <w:r>
        <w:rPr>
          <w:rFonts w:hint="eastAsia" w:ascii="楷体_GB2312" w:hAnsi="楷体_GB2312" w:eastAsia="楷体_GB2312" w:cs="楷体_GB2312"/>
          <w:b/>
          <w:color w:val="auto"/>
          <w:sz w:val="28"/>
          <w:szCs w:val="28"/>
        </w:rPr>
        <w:t>3.1依据标准</w:t>
      </w:r>
    </w:p>
    <w:p w14:paraId="6DD00BB4">
      <w:pPr>
        <w:adjustRightInd w:val="0"/>
        <w:snapToGrid w:val="0"/>
        <w:spacing w:line="520" w:lineRule="exact"/>
        <w:ind w:firstLine="560" w:firstLineChars="200"/>
        <w:rPr>
          <w:rFonts w:ascii="仿宋_GB2312" w:eastAsia="仿宋_GB2312" w:cs="宋体"/>
          <w:color w:val="auto"/>
          <w:sz w:val="28"/>
          <w:szCs w:val="28"/>
        </w:rPr>
      </w:pPr>
      <w:r>
        <w:rPr>
          <w:rFonts w:hint="eastAsia" w:ascii="仿宋_GB2312" w:eastAsia="仿宋_GB2312" w:cs="宋体"/>
          <w:color w:val="auto"/>
          <w:sz w:val="28"/>
          <w:szCs w:val="28"/>
        </w:rPr>
        <w:t>GB17820-2018  天然气</w:t>
      </w:r>
    </w:p>
    <w:p w14:paraId="2530817B">
      <w:pPr>
        <w:adjustRightInd w:val="0"/>
        <w:snapToGrid w:val="0"/>
        <w:spacing w:line="5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现行有效的企业标准、团体标准、地方标准及产品明示质量要求。</w:t>
      </w:r>
    </w:p>
    <w:p w14:paraId="1F6A601E">
      <w:pPr>
        <w:adjustRightInd w:val="0"/>
        <w:snapToGrid w:val="0"/>
        <w:spacing w:line="520" w:lineRule="exact"/>
        <w:ind w:firstLine="562" w:firstLineChars="200"/>
        <w:rPr>
          <w:rFonts w:ascii="楷体_GB2312" w:hAnsi="楷体_GB2312" w:eastAsia="楷体_GB2312" w:cs="楷体_GB2312"/>
          <w:b/>
          <w:color w:val="auto"/>
          <w:sz w:val="28"/>
          <w:szCs w:val="28"/>
        </w:rPr>
      </w:pPr>
      <w:r>
        <w:rPr>
          <w:rFonts w:hint="eastAsia" w:ascii="楷体_GB2312" w:hAnsi="楷体_GB2312" w:eastAsia="楷体_GB2312" w:cs="楷体_GB2312"/>
          <w:b/>
          <w:color w:val="auto"/>
          <w:sz w:val="28"/>
          <w:szCs w:val="28"/>
        </w:rPr>
        <w:t>3.2判定原则</w:t>
      </w:r>
    </w:p>
    <w:p w14:paraId="279A3D13">
      <w:pPr>
        <w:adjustRightInd w:val="0"/>
        <w:snapToGrid w:val="0"/>
        <w:spacing w:line="520" w:lineRule="exact"/>
        <w:ind w:firstLine="557" w:firstLineChars="199"/>
        <w:rPr>
          <w:rFonts w:ascii="仿宋_GB2312" w:eastAsia="仿宋_GB2312"/>
          <w:color w:val="auto"/>
          <w:sz w:val="28"/>
          <w:szCs w:val="28"/>
        </w:rPr>
      </w:pPr>
      <w:r>
        <w:rPr>
          <w:rFonts w:hint="eastAsia" w:ascii="仿宋_GB2312" w:eastAsia="仿宋_GB2312"/>
          <w:color w:val="auto"/>
          <w:sz w:val="28"/>
          <w:szCs w:val="28"/>
        </w:rPr>
        <w:t>经检验，检验项目全部合格，判定为被抽查产品所检项目未发现不合格；检验项目中任一项或一项以上不合格，判定为被抽查产品不合格。</w:t>
      </w:r>
    </w:p>
    <w:p w14:paraId="5045A805">
      <w:pPr>
        <w:adjustRightInd w:val="0"/>
        <w:snapToGrid w:val="0"/>
        <w:spacing w:line="520" w:lineRule="exact"/>
        <w:ind w:firstLine="557" w:firstLineChars="199"/>
        <w:rPr>
          <w:rFonts w:ascii="仿宋_GB2312" w:eastAsia="仿宋_GB2312"/>
          <w:color w:val="auto"/>
          <w:sz w:val="28"/>
          <w:szCs w:val="28"/>
        </w:rPr>
      </w:pPr>
      <w:r>
        <w:rPr>
          <w:rFonts w:hint="eastAsia" w:ascii="仿宋_GB2312" w:eastAsia="仿宋_GB2312"/>
          <w:color w:val="auto"/>
          <w:sz w:val="28"/>
          <w:szCs w:val="28"/>
        </w:rPr>
        <w:t>若被检产品明示的质量要求高于本细则中检验项目依据的标准要求时，应按被检产品明示的质量要求判定。</w:t>
      </w:r>
    </w:p>
    <w:p w14:paraId="641101EE">
      <w:pPr>
        <w:adjustRightInd w:val="0"/>
        <w:snapToGrid w:val="0"/>
        <w:spacing w:line="520" w:lineRule="exact"/>
        <w:ind w:firstLine="557" w:firstLineChars="199"/>
        <w:rPr>
          <w:rFonts w:ascii="仿宋_GB2312" w:eastAsia="仿宋_GB2312"/>
          <w:color w:val="auto"/>
          <w:sz w:val="28"/>
          <w:szCs w:val="28"/>
        </w:rPr>
      </w:pPr>
      <w:r>
        <w:rPr>
          <w:rFonts w:hint="eastAsia" w:ascii="仿宋_GB2312" w:eastAsia="仿宋_GB2312"/>
          <w:color w:val="auto"/>
          <w:sz w:val="28"/>
          <w:szCs w:val="28"/>
        </w:rPr>
        <w:t>若被检产品明示的质量要求低于本细则中检验项目依据的强制性标准要求时，应按照强制性标准要求判定。</w:t>
      </w:r>
    </w:p>
    <w:p w14:paraId="24B0857C">
      <w:pPr>
        <w:adjustRightInd w:val="0"/>
        <w:snapToGrid w:val="0"/>
        <w:spacing w:line="520" w:lineRule="exact"/>
        <w:ind w:firstLine="557" w:firstLineChars="199"/>
        <w:rPr>
          <w:rFonts w:ascii="仿宋_GB2312" w:eastAsia="仿宋_GB2312"/>
          <w:color w:val="auto"/>
          <w:sz w:val="28"/>
          <w:szCs w:val="28"/>
        </w:rPr>
      </w:pPr>
      <w:r>
        <w:rPr>
          <w:rFonts w:hint="eastAsia" w:ascii="仿宋_GB2312" w:eastAsia="仿宋_GB2312"/>
          <w:color w:val="auto"/>
          <w:sz w:val="28"/>
          <w:szCs w:val="28"/>
        </w:rPr>
        <w:t>若被检产品明示的质量要求低于或包含本细则中检验项目依据的推荐性标准要求时，应以被检产品明示的质量要求判定。</w:t>
      </w:r>
    </w:p>
    <w:p w14:paraId="2CD6A51E">
      <w:pPr>
        <w:adjustRightInd w:val="0"/>
        <w:snapToGrid w:val="0"/>
        <w:spacing w:line="520" w:lineRule="exact"/>
        <w:ind w:firstLine="557" w:firstLineChars="199"/>
        <w:rPr>
          <w:rFonts w:ascii="仿宋_GB2312" w:eastAsia="仿宋_GB2312"/>
          <w:color w:val="auto"/>
          <w:sz w:val="28"/>
          <w:szCs w:val="28"/>
        </w:rPr>
      </w:pPr>
      <w:r>
        <w:rPr>
          <w:rFonts w:hint="eastAsia" w:ascii="仿宋_GB2312" w:eastAsia="仿宋_GB2312"/>
          <w:color w:val="auto"/>
          <w:sz w:val="28"/>
          <w:szCs w:val="28"/>
        </w:rPr>
        <w:t>若被检产品明示的质量要求缺少本细则中检验项目依据的强制性标准要求时，应按照强制性标准要求判定。</w:t>
      </w:r>
    </w:p>
    <w:p w14:paraId="6860C453">
      <w:pPr>
        <w:adjustRightInd w:val="0"/>
        <w:snapToGrid w:val="0"/>
        <w:spacing w:line="520" w:lineRule="exact"/>
        <w:ind w:firstLine="557" w:firstLineChars="199"/>
        <w:rPr>
          <w:rFonts w:hint="eastAsia" w:ascii="仿宋_GB2312" w:eastAsia="仿宋_GB2312"/>
          <w:color w:val="auto"/>
          <w:sz w:val="28"/>
          <w:szCs w:val="28"/>
        </w:rPr>
      </w:pPr>
      <w:r>
        <w:rPr>
          <w:rFonts w:hint="eastAsia" w:ascii="仿宋_GB2312" w:eastAsia="仿宋_GB2312"/>
          <w:color w:val="auto"/>
          <w:sz w:val="28"/>
          <w:szCs w:val="28"/>
        </w:rPr>
        <w:t>若被检产品明示的质量要求缺少本细则中检验项目依据的推荐性标准要求时，该项目不参与判定。</w:t>
      </w:r>
    </w:p>
    <w:p w14:paraId="70EB9BA2">
      <w:pPr>
        <w:adjustRightInd w:val="0"/>
        <w:snapToGrid w:val="0"/>
        <w:spacing w:line="520" w:lineRule="exact"/>
        <w:ind w:firstLine="557" w:firstLineChars="199"/>
        <w:rPr>
          <w:rFonts w:hint="eastAsia" w:ascii="仿宋_GB2312" w:eastAsia="仿宋_GB2312"/>
          <w:color w:val="auto"/>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418" w:bottom="1985" w:left="1418" w:header="851" w:footer="1191"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KSOF439EEF50">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498EA">
    <w:pPr>
      <w:pStyle w:val="8"/>
      <w:ind w:right="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joinstyle="miter"/>
          <v:imagedata o:title=""/>
          <o:lock v:ext="edit"/>
          <v:textbox inset="0mm,0mm,0mm,0mm" style="mso-fit-shape-to-text:t;">
            <w:txbxContent>
              <w:p w14:paraId="7F5D1EC5">
                <w:pPr>
                  <w:pStyle w:val="8"/>
                  <w:ind w:right="360"/>
                </w:pPr>
                <w:r>
                  <w:rPr>
                    <w:rFonts w:ascii="宋体" w:hAnsi="宋体" w:cs="宋体"/>
                    <w:sz w:val="28"/>
                    <w:szCs w:val="28"/>
                  </w:rPr>
                  <w:t xml:space="preserve"> </w:t>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PAGE   \* MERGEFORMAT</w:instrText>
                </w:r>
                <w:r>
                  <w:rPr>
                    <w:rFonts w:hint="eastAsia" w:ascii="黑体" w:hAnsi="黑体" w:eastAsia="黑体" w:cs="黑体"/>
                    <w:sz w:val="28"/>
                    <w:szCs w:val="28"/>
                  </w:rPr>
                  <w:fldChar w:fldCharType="separate"/>
                </w:r>
                <w:r>
                  <w:rPr>
                    <w:rFonts w:ascii="黑体" w:hAnsi="黑体" w:eastAsia="黑体" w:cs="黑体"/>
                    <w:sz w:val="28"/>
                    <w:szCs w:val="28"/>
                    <w:lang w:val="zh-CN"/>
                  </w:rPr>
                  <w:t>2</w:t>
                </w:r>
                <w:r>
                  <w:rPr>
                    <w:rFonts w:hint="eastAsia" w:ascii="黑体" w:hAnsi="黑体" w:eastAsia="黑体" w:cs="黑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0D0D7">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14:paraId="5D0CA734">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F6F66">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78054">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F9D1C">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54D3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k0YTA2NDlmMTZhMGM0ZWRkM2RhZDY4Y2EyYzk2MTEifQ=="/>
  </w:docVars>
  <w:rsids>
    <w:rsidRoot w:val="00172A27"/>
    <w:rsid w:val="00005A08"/>
    <w:rsid w:val="0002518B"/>
    <w:rsid w:val="00026817"/>
    <w:rsid w:val="00051A44"/>
    <w:rsid w:val="0005503E"/>
    <w:rsid w:val="00057D13"/>
    <w:rsid w:val="00064FD2"/>
    <w:rsid w:val="00073470"/>
    <w:rsid w:val="00081CBD"/>
    <w:rsid w:val="000976DE"/>
    <w:rsid w:val="000B0D0C"/>
    <w:rsid w:val="000D54F1"/>
    <w:rsid w:val="000E386E"/>
    <w:rsid w:val="000E61DF"/>
    <w:rsid w:val="001119D4"/>
    <w:rsid w:val="00114688"/>
    <w:rsid w:val="00116DD2"/>
    <w:rsid w:val="0012218C"/>
    <w:rsid w:val="001526B5"/>
    <w:rsid w:val="00154D8E"/>
    <w:rsid w:val="00155349"/>
    <w:rsid w:val="0017196D"/>
    <w:rsid w:val="00172A27"/>
    <w:rsid w:val="001809DD"/>
    <w:rsid w:val="001927CF"/>
    <w:rsid w:val="00192A0B"/>
    <w:rsid w:val="001A2432"/>
    <w:rsid w:val="001B03F1"/>
    <w:rsid w:val="001B14F7"/>
    <w:rsid w:val="001C78EC"/>
    <w:rsid w:val="00205F3E"/>
    <w:rsid w:val="00226407"/>
    <w:rsid w:val="00232774"/>
    <w:rsid w:val="00251E60"/>
    <w:rsid w:val="002530F1"/>
    <w:rsid w:val="00253624"/>
    <w:rsid w:val="00261B5A"/>
    <w:rsid w:val="002827E9"/>
    <w:rsid w:val="002D5F41"/>
    <w:rsid w:val="002D7F8A"/>
    <w:rsid w:val="002E0D1D"/>
    <w:rsid w:val="002E46ED"/>
    <w:rsid w:val="003138F3"/>
    <w:rsid w:val="003203A3"/>
    <w:rsid w:val="00326800"/>
    <w:rsid w:val="00343AB7"/>
    <w:rsid w:val="003477E8"/>
    <w:rsid w:val="00366632"/>
    <w:rsid w:val="00374444"/>
    <w:rsid w:val="00395E47"/>
    <w:rsid w:val="003A610D"/>
    <w:rsid w:val="003C388C"/>
    <w:rsid w:val="003D3AC9"/>
    <w:rsid w:val="003E0A24"/>
    <w:rsid w:val="003E2920"/>
    <w:rsid w:val="003E61BF"/>
    <w:rsid w:val="004032FB"/>
    <w:rsid w:val="004253BB"/>
    <w:rsid w:val="00436453"/>
    <w:rsid w:val="00445E86"/>
    <w:rsid w:val="00445FA1"/>
    <w:rsid w:val="00474E04"/>
    <w:rsid w:val="004A57C4"/>
    <w:rsid w:val="004B39F0"/>
    <w:rsid w:val="004D0C5A"/>
    <w:rsid w:val="004D1824"/>
    <w:rsid w:val="004D7E4A"/>
    <w:rsid w:val="004E1396"/>
    <w:rsid w:val="004E4A4B"/>
    <w:rsid w:val="004F34BF"/>
    <w:rsid w:val="004F4BB6"/>
    <w:rsid w:val="005175DF"/>
    <w:rsid w:val="00550A1F"/>
    <w:rsid w:val="00563EBC"/>
    <w:rsid w:val="00574EC2"/>
    <w:rsid w:val="0058452F"/>
    <w:rsid w:val="00585B51"/>
    <w:rsid w:val="005B0777"/>
    <w:rsid w:val="006056B0"/>
    <w:rsid w:val="006407CD"/>
    <w:rsid w:val="006461E3"/>
    <w:rsid w:val="00670E6A"/>
    <w:rsid w:val="00674391"/>
    <w:rsid w:val="00675E3C"/>
    <w:rsid w:val="00677793"/>
    <w:rsid w:val="0068751B"/>
    <w:rsid w:val="006B06C5"/>
    <w:rsid w:val="006B7248"/>
    <w:rsid w:val="006C5275"/>
    <w:rsid w:val="006C7B79"/>
    <w:rsid w:val="006D4BAE"/>
    <w:rsid w:val="006E4756"/>
    <w:rsid w:val="006F0971"/>
    <w:rsid w:val="006F206B"/>
    <w:rsid w:val="006F4E18"/>
    <w:rsid w:val="0070419E"/>
    <w:rsid w:val="0071775F"/>
    <w:rsid w:val="00720AC7"/>
    <w:rsid w:val="0072334C"/>
    <w:rsid w:val="0073086B"/>
    <w:rsid w:val="00777498"/>
    <w:rsid w:val="007774A3"/>
    <w:rsid w:val="007908EB"/>
    <w:rsid w:val="007A23BB"/>
    <w:rsid w:val="007B786C"/>
    <w:rsid w:val="0083034C"/>
    <w:rsid w:val="0083758B"/>
    <w:rsid w:val="0084639C"/>
    <w:rsid w:val="00850CA2"/>
    <w:rsid w:val="00864466"/>
    <w:rsid w:val="00871B6C"/>
    <w:rsid w:val="00881D75"/>
    <w:rsid w:val="00884FF3"/>
    <w:rsid w:val="00891B88"/>
    <w:rsid w:val="00893791"/>
    <w:rsid w:val="00895BEA"/>
    <w:rsid w:val="008A2675"/>
    <w:rsid w:val="008A3497"/>
    <w:rsid w:val="008B0132"/>
    <w:rsid w:val="008D1C38"/>
    <w:rsid w:val="008E1963"/>
    <w:rsid w:val="00917A54"/>
    <w:rsid w:val="0092403A"/>
    <w:rsid w:val="00926043"/>
    <w:rsid w:val="00931C7E"/>
    <w:rsid w:val="0093230E"/>
    <w:rsid w:val="0095633A"/>
    <w:rsid w:val="009C283F"/>
    <w:rsid w:val="009C39CA"/>
    <w:rsid w:val="009D0B26"/>
    <w:rsid w:val="009F248B"/>
    <w:rsid w:val="00A37DF5"/>
    <w:rsid w:val="00A41401"/>
    <w:rsid w:val="00A43553"/>
    <w:rsid w:val="00A51BC0"/>
    <w:rsid w:val="00A572D5"/>
    <w:rsid w:val="00A63EE3"/>
    <w:rsid w:val="00A702AC"/>
    <w:rsid w:val="00A857E5"/>
    <w:rsid w:val="00AA03AE"/>
    <w:rsid w:val="00AD6005"/>
    <w:rsid w:val="00AE3E93"/>
    <w:rsid w:val="00AF0D65"/>
    <w:rsid w:val="00AF2C93"/>
    <w:rsid w:val="00B57B44"/>
    <w:rsid w:val="00B67D9F"/>
    <w:rsid w:val="00B861D4"/>
    <w:rsid w:val="00BA0EEF"/>
    <w:rsid w:val="00BC1C10"/>
    <w:rsid w:val="00BD0BF0"/>
    <w:rsid w:val="00BD5E9A"/>
    <w:rsid w:val="00BD7935"/>
    <w:rsid w:val="00BE19EB"/>
    <w:rsid w:val="00BF1F6C"/>
    <w:rsid w:val="00C1607E"/>
    <w:rsid w:val="00C20E85"/>
    <w:rsid w:val="00C25520"/>
    <w:rsid w:val="00C26074"/>
    <w:rsid w:val="00C462D6"/>
    <w:rsid w:val="00C82F09"/>
    <w:rsid w:val="00C83B0A"/>
    <w:rsid w:val="00CD7054"/>
    <w:rsid w:val="00CE1E0C"/>
    <w:rsid w:val="00CE277E"/>
    <w:rsid w:val="00D104F9"/>
    <w:rsid w:val="00D11904"/>
    <w:rsid w:val="00D5357F"/>
    <w:rsid w:val="00D56867"/>
    <w:rsid w:val="00D56AA0"/>
    <w:rsid w:val="00D637B3"/>
    <w:rsid w:val="00DA021B"/>
    <w:rsid w:val="00DA47A4"/>
    <w:rsid w:val="00DC4A5A"/>
    <w:rsid w:val="00E02A7F"/>
    <w:rsid w:val="00E07880"/>
    <w:rsid w:val="00E53E7D"/>
    <w:rsid w:val="00E604E0"/>
    <w:rsid w:val="00E77219"/>
    <w:rsid w:val="00E82621"/>
    <w:rsid w:val="00E95F8C"/>
    <w:rsid w:val="00EB128B"/>
    <w:rsid w:val="00EC0F32"/>
    <w:rsid w:val="00EC5345"/>
    <w:rsid w:val="00EE1572"/>
    <w:rsid w:val="00EE509E"/>
    <w:rsid w:val="00EF6D4B"/>
    <w:rsid w:val="00F17B69"/>
    <w:rsid w:val="00F3513C"/>
    <w:rsid w:val="00F4641B"/>
    <w:rsid w:val="00F77C9A"/>
    <w:rsid w:val="00FA1483"/>
    <w:rsid w:val="00FA796A"/>
    <w:rsid w:val="00FB576C"/>
    <w:rsid w:val="00FC01BF"/>
    <w:rsid w:val="00FD1B22"/>
    <w:rsid w:val="00FD2AA6"/>
    <w:rsid w:val="00FD347F"/>
    <w:rsid w:val="00FE3E8F"/>
    <w:rsid w:val="00FE7E8A"/>
    <w:rsid w:val="08C16C71"/>
    <w:rsid w:val="0A7B49CF"/>
    <w:rsid w:val="0AE33BE1"/>
    <w:rsid w:val="0ED3587A"/>
    <w:rsid w:val="15684BAC"/>
    <w:rsid w:val="171C33AA"/>
    <w:rsid w:val="18063ABA"/>
    <w:rsid w:val="1DC9278F"/>
    <w:rsid w:val="1F656C80"/>
    <w:rsid w:val="20D63FCA"/>
    <w:rsid w:val="221B6997"/>
    <w:rsid w:val="28993424"/>
    <w:rsid w:val="290C60E4"/>
    <w:rsid w:val="2FB21A9B"/>
    <w:rsid w:val="30123D09"/>
    <w:rsid w:val="34D5CA71"/>
    <w:rsid w:val="35524965"/>
    <w:rsid w:val="36325C25"/>
    <w:rsid w:val="38BE00CE"/>
    <w:rsid w:val="3A034CCF"/>
    <w:rsid w:val="3B4065B5"/>
    <w:rsid w:val="3C933986"/>
    <w:rsid w:val="40AB1309"/>
    <w:rsid w:val="4108498B"/>
    <w:rsid w:val="41DD1D8D"/>
    <w:rsid w:val="46BC6E06"/>
    <w:rsid w:val="47F36CDA"/>
    <w:rsid w:val="4A0838AC"/>
    <w:rsid w:val="4ABB3E7C"/>
    <w:rsid w:val="4F306464"/>
    <w:rsid w:val="4FEF03B0"/>
    <w:rsid w:val="56407115"/>
    <w:rsid w:val="595018C1"/>
    <w:rsid w:val="59C82E25"/>
    <w:rsid w:val="59D4455F"/>
    <w:rsid w:val="5A2D0084"/>
    <w:rsid w:val="5D0367CF"/>
    <w:rsid w:val="69561139"/>
    <w:rsid w:val="6DC30613"/>
    <w:rsid w:val="723A4344"/>
    <w:rsid w:val="76CE6AB0"/>
    <w:rsid w:val="7B964CF8"/>
    <w:rsid w:val="7FC7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autoSpaceDE w:val="0"/>
      <w:autoSpaceDN w:val="0"/>
      <w:adjustRightInd w:val="0"/>
      <w:spacing w:before="340" w:after="330" w:line="578" w:lineRule="auto"/>
      <w:jc w:val="left"/>
      <w:outlineLvl w:val="0"/>
    </w:pPr>
    <w:rPr>
      <w:rFonts w:ascii="宋体"/>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ody Text Indent"/>
    <w:basedOn w:val="1"/>
    <w:link w:val="18"/>
    <w:qFormat/>
    <w:uiPriority w:val="99"/>
    <w:pPr>
      <w:ind w:firstLine="600" w:firstLineChars="200"/>
    </w:pPr>
    <w:rPr>
      <w:rFonts w:eastAsia="仿宋_GB2312"/>
      <w:sz w:val="30"/>
      <w:szCs w:val="30"/>
    </w:rPr>
  </w:style>
  <w:style w:type="paragraph" w:styleId="5">
    <w:name w:val="Plain Text"/>
    <w:basedOn w:val="1"/>
    <w:link w:val="19"/>
    <w:qFormat/>
    <w:uiPriority w:val="99"/>
    <w:rPr>
      <w:rFonts w:ascii="宋体" w:hAnsi="Courier New"/>
      <w:kern w:val="0"/>
      <w:sz w:val="20"/>
      <w:szCs w:val="20"/>
    </w:rPr>
  </w:style>
  <w:style w:type="paragraph" w:styleId="6">
    <w:name w:val="Date"/>
    <w:basedOn w:val="1"/>
    <w:next w:val="1"/>
    <w:link w:val="20"/>
    <w:qFormat/>
    <w:uiPriority w:val="0"/>
    <w:rPr>
      <w:sz w:val="24"/>
      <w:szCs w:val="20"/>
    </w:rPr>
  </w:style>
  <w:style w:type="paragraph" w:styleId="7">
    <w:name w:val="Balloon Text"/>
    <w:basedOn w:val="1"/>
    <w:link w:val="21"/>
    <w:qFormat/>
    <w:uiPriority w:val="0"/>
    <w:rPr>
      <w:rFonts w:ascii="Calibri" w:hAnsi="Calibri"/>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24"/>
    <w:qFormat/>
    <w:uiPriority w:val="99"/>
    <w:pPr>
      <w:spacing w:after="120"/>
      <w:ind w:left="420" w:leftChars="200"/>
    </w:pPr>
    <w:rPr>
      <w:rFonts w:ascii="Calibri" w:hAnsi="Calibri"/>
      <w:sz w:val="16"/>
      <w:szCs w:val="16"/>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3"/>
    <w:next w:val="3"/>
    <w:link w:val="25"/>
    <w:qFormat/>
    <w:uiPriority w:val="99"/>
    <w:rPr>
      <w:b/>
      <w:bCs/>
      <w:szCs w:val="21"/>
    </w:rPr>
  </w:style>
  <w:style w:type="character" w:styleId="15">
    <w:name w:val="page number"/>
    <w:basedOn w:val="14"/>
    <w:qFormat/>
    <w:uiPriority w:val="0"/>
  </w:style>
  <w:style w:type="character" w:customStyle="1" w:styleId="16">
    <w:name w:val="标题 1 Char"/>
    <w:link w:val="2"/>
    <w:qFormat/>
    <w:uiPriority w:val="99"/>
    <w:rPr>
      <w:rFonts w:ascii="宋体"/>
      <w:b/>
      <w:bCs/>
      <w:kern w:val="44"/>
      <w:sz w:val="44"/>
      <w:szCs w:val="44"/>
    </w:rPr>
  </w:style>
  <w:style w:type="character" w:customStyle="1" w:styleId="17">
    <w:name w:val="批注文字 Char"/>
    <w:link w:val="3"/>
    <w:qFormat/>
    <w:uiPriority w:val="99"/>
    <w:rPr>
      <w:kern w:val="2"/>
      <w:sz w:val="21"/>
      <w:szCs w:val="24"/>
    </w:rPr>
  </w:style>
  <w:style w:type="character" w:customStyle="1" w:styleId="18">
    <w:name w:val="正文文本缩进 Char"/>
    <w:link w:val="4"/>
    <w:qFormat/>
    <w:uiPriority w:val="99"/>
    <w:rPr>
      <w:rFonts w:eastAsia="仿宋_GB2312"/>
      <w:kern w:val="2"/>
      <w:sz w:val="30"/>
      <w:szCs w:val="30"/>
    </w:rPr>
  </w:style>
  <w:style w:type="character" w:customStyle="1" w:styleId="19">
    <w:name w:val="纯文本 Char"/>
    <w:link w:val="5"/>
    <w:qFormat/>
    <w:uiPriority w:val="99"/>
    <w:rPr>
      <w:rFonts w:ascii="宋体" w:hAnsi="Courier New" w:cs="宋体"/>
    </w:rPr>
  </w:style>
  <w:style w:type="character" w:customStyle="1" w:styleId="20">
    <w:name w:val="日期 Char"/>
    <w:link w:val="6"/>
    <w:qFormat/>
    <w:uiPriority w:val="0"/>
    <w:rPr>
      <w:kern w:val="2"/>
      <w:sz w:val="24"/>
    </w:rPr>
  </w:style>
  <w:style w:type="character" w:customStyle="1" w:styleId="21">
    <w:name w:val="批注框文本 Char"/>
    <w:link w:val="7"/>
    <w:qFormat/>
    <w:uiPriority w:val="0"/>
    <w:rPr>
      <w:rFonts w:ascii="Calibri" w:hAnsi="Calibri" w:cs="Calibri"/>
      <w:kern w:val="2"/>
      <w:sz w:val="18"/>
      <w:szCs w:val="18"/>
    </w:rPr>
  </w:style>
  <w:style w:type="character" w:customStyle="1" w:styleId="22">
    <w:name w:val="页脚 Char"/>
    <w:link w:val="8"/>
    <w:qFormat/>
    <w:uiPriority w:val="99"/>
    <w:rPr>
      <w:kern w:val="2"/>
      <w:sz w:val="18"/>
      <w:szCs w:val="18"/>
    </w:rPr>
  </w:style>
  <w:style w:type="character" w:customStyle="1" w:styleId="23">
    <w:name w:val="页眉 Char"/>
    <w:link w:val="9"/>
    <w:semiHidden/>
    <w:qFormat/>
    <w:uiPriority w:val="99"/>
    <w:rPr>
      <w:kern w:val="2"/>
      <w:sz w:val="18"/>
      <w:szCs w:val="18"/>
    </w:rPr>
  </w:style>
  <w:style w:type="character" w:customStyle="1" w:styleId="24">
    <w:name w:val="正文文本缩进 3 Char"/>
    <w:link w:val="10"/>
    <w:qFormat/>
    <w:uiPriority w:val="99"/>
    <w:rPr>
      <w:rFonts w:ascii="Calibri" w:hAnsi="Calibri" w:cs="Calibri"/>
      <w:kern w:val="2"/>
      <w:sz w:val="16"/>
      <w:szCs w:val="16"/>
    </w:rPr>
  </w:style>
  <w:style w:type="character" w:customStyle="1" w:styleId="25">
    <w:name w:val="批注主题 Char"/>
    <w:link w:val="12"/>
    <w:qFormat/>
    <w:uiPriority w:val="99"/>
    <w:rPr>
      <w:b/>
      <w:bCs/>
      <w:kern w:val="2"/>
      <w:sz w:val="21"/>
      <w:szCs w:val="21"/>
    </w:rPr>
  </w:style>
  <w:style w:type="paragraph" w:customStyle="1" w:styleId="26">
    <w:name w:val="段"/>
    <w:qFormat/>
    <w:uiPriority w:val="0"/>
    <w:pPr>
      <w:autoSpaceDE w:val="0"/>
      <w:autoSpaceDN w:val="0"/>
      <w:ind w:firstLine="420"/>
      <w:jc w:val="both"/>
    </w:pPr>
    <w:rPr>
      <w:rFonts w:ascii="Times New Roman" w:hAnsi="Times New Roman" w:eastAsia="宋体" w:cs="Times New Roman"/>
      <w:color w:val="000000"/>
      <w:lang w:val="en-US" w:eastAsia="zh-CN" w:bidi="ar-SA"/>
    </w:rPr>
  </w:style>
  <w:style w:type="paragraph" w:customStyle="1" w:styleId="27">
    <w:name w:val="二级条标题"/>
    <w:basedOn w:val="1"/>
    <w:next w:val="26"/>
    <w:qFormat/>
    <w:uiPriority w:val="0"/>
    <w:pPr>
      <w:widowControl/>
      <w:tabs>
        <w:tab w:val="left" w:pos="1680"/>
      </w:tabs>
      <w:ind w:left="1680" w:hanging="420"/>
      <w:outlineLvl w:val="3"/>
    </w:pPr>
    <w:rPr>
      <w:rFonts w:ascii="黑体" w:eastAsia="黑体"/>
      <w:kern w:val="0"/>
      <w:szCs w:val="20"/>
    </w:rPr>
  </w:style>
  <w:style w:type="paragraph" w:customStyle="1" w:styleId="28">
    <w:name w:val="列项·"/>
    <w:qFormat/>
    <w:uiPriority w:val="99"/>
    <w:pPr>
      <w:tabs>
        <w:tab w:val="left" w:pos="840"/>
      </w:tabs>
      <w:ind w:left="420"/>
      <w:jc w:val="both"/>
    </w:pPr>
    <w:rPr>
      <w:rFonts w:ascii="宋体" w:hAnsi="Times New Roman" w:eastAsia="宋体" w:cs="宋体"/>
      <w:lang w:val="en-US" w:eastAsia="zh-CN" w:bidi="ar-SA"/>
    </w:rPr>
  </w:style>
  <w:style w:type="paragraph" w:customStyle="1" w:styleId="29">
    <w:name w:val="_Style 28"/>
    <w:semiHidden/>
    <w:qFormat/>
    <w:uiPriority w:val="99"/>
    <w:rPr>
      <w:rFonts w:ascii="Times New Roman" w:hAnsi="Times New Roman" w:eastAsia="宋体" w:cs="Times New Roman"/>
      <w:kern w:val="2"/>
      <w:sz w:val="21"/>
      <w:szCs w:val="24"/>
      <w:lang w:val="en-US" w:eastAsia="zh-CN" w:bidi="ar-SA"/>
    </w:rPr>
  </w:style>
  <w:style w:type="paragraph" w:customStyle="1" w:styleId="30">
    <w:name w:val="列出段落1"/>
    <w:basedOn w:val="1"/>
    <w:qFormat/>
    <w:uiPriority w:val="99"/>
    <w:pPr>
      <w:ind w:firstLine="420" w:firstLineChars="200"/>
    </w:pPr>
    <w:rPr>
      <w:rFonts w:ascii="Calibri" w:hAnsi="Calibri"/>
      <w:szCs w:val="22"/>
    </w:rPr>
  </w:style>
  <w:style w:type="paragraph" w:customStyle="1" w:styleId="31">
    <w:name w:val="二级无标题条"/>
    <w:basedOn w:val="1"/>
    <w:qFormat/>
    <w:uiPriority w:val="0"/>
    <w:rPr>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750</Words>
  <Characters>816</Characters>
  <Lines>6</Lines>
  <Paragraphs>1</Paragraphs>
  <TotalTime>43</TotalTime>
  <ScaleCrop>false</ScaleCrop>
  <LinksUpToDate>false</LinksUpToDate>
  <CharactersWithSpaces>824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2020-06-15T16:00:00Z</dcterms:created>
  <dc:creator>Legend User</dc:creator>
  <cp:lastModifiedBy>星</cp:lastModifiedBy>
  <cp:lastPrinted>2019-12-05T15:53:00Z</cp:lastPrinted>
  <dcterms:modified xsi:type="dcterms:W3CDTF">2026-01-08T02:40:35Z</dcterms:modified>
  <dc:title>××产品质量监督抽查实施细则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B9CE4934054A4C18AAF0BEE960CD5D7A</vt:lpwstr>
  </property>
  <property fmtid="{D5CDD505-2E9C-101B-9397-08002B2CF9AE}" pid="4" name="KSOTemplateDocerSaveRecord">
    <vt:lpwstr>eyJoZGlkIjoiNTk0YTA2NDlmMTZhMGM0ZWRkM2RhZDY4Y2EyYzk2MTEiLCJ1c2VySWQiOiIzMTYzOTIzODYifQ==</vt:lpwstr>
  </property>
</Properties>
</file>